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A7" w:rsidRPr="00B878A7" w:rsidRDefault="00B878A7" w:rsidP="00B878A7">
      <w:pPr>
        <w:spacing w:line="240" w:lineRule="auto"/>
        <w:jc w:val="center"/>
        <w:rPr>
          <w:rFonts w:ascii="Segoe UI" w:eastAsia="Times New Roman" w:hAnsi="Segoe UI" w:cs="Segoe UI"/>
          <w:b/>
          <w:color w:val="0000FF"/>
          <w:sz w:val="28"/>
          <w:lang w:eastAsia="es-CO"/>
        </w:rPr>
      </w:pPr>
      <w:r w:rsidRPr="00B878A7">
        <w:rPr>
          <w:rFonts w:ascii="Segoe UI" w:eastAsia="Times New Roman" w:hAnsi="Segoe UI" w:cs="Segoe UI"/>
          <w:b/>
          <w:color w:val="0000FF"/>
          <w:sz w:val="28"/>
          <w:lang w:eastAsia="es-CO"/>
        </w:rPr>
        <w:t>OFICIO N° 072393</w:t>
      </w:r>
    </w:p>
    <w:p w:rsidR="00B878A7" w:rsidRPr="00B878A7" w:rsidRDefault="00B878A7" w:rsidP="00B878A7">
      <w:pPr>
        <w:spacing w:line="240" w:lineRule="auto"/>
        <w:jc w:val="center"/>
        <w:rPr>
          <w:rFonts w:ascii="Segoe UI" w:eastAsia="Times New Roman" w:hAnsi="Segoe UI" w:cs="Segoe UI"/>
          <w:b/>
          <w:color w:val="0000FF"/>
          <w:sz w:val="28"/>
          <w:lang w:eastAsia="es-CO"/>
        </w:rPr>
      </w:pPr>
      <w:r w:rsidRPr="00B878A7">
        <w:rPr>
          <w:rFonts w:ascii="Segoe UI" w:eastAsia="Times New Roman" w:hAnsi="Segoe UI" w:cs="Segoe UI"/>
          <w:b/>
          <w:color w:val="0000FF"/>
          <w:sz w:val="28"/>
          <w:lang w:eastAsia="es-CO"/>
        </w:rPr>
        <w:t>13-11-2013</w:t>
      </w:r>
    </w:p>
    <w:p w:rsidR="00B878A7" w:rsidRPr="00B878A7" w:rsidRDefault="00B878A7" w:rsidP="00B878A7">
      <w:pPr>
        <w:spacing w:line="240" w:lineRule="auto"/>
        <w:jc w:val="center"/>
        <w:rPr>
          <w:rFonts w:ascii="Segoe UI" w:eastAsia="Times New Roman" w:hAnsi="Segoe UI" w:cs="Segoe UI"/>
          <w:b/>
          <w:color w:val="0000FF"/>
          <w:sz w:val="28"/>
          <w:lang w:eastAsia="es-CO"/>
        </w:rPr>
      </w:pPr>
      <w:r w:rsidRPr="00B878A7">
        <w:rPr>
          <w:rFonts w:ascii="Segoe UI" w:eastAsia="Times New Roman" w:hAnsi="Segoe UI" w:cs="Segoe UI"/>
          <w:b/>
          <w:color w:val="0000FF"/>
          <w:sz w:val="28"/>
          <w:lang w:eastAsia="es-CO"/>
        </w:rPr>
        <w:t>DIAN</w:t>
      </w:r>
    </w:p>
    <w:p w:rsidR="00B878A7" w:rsidRPr="00B878A7" w:rsidRDefault="00B878A7" w:rsidP="00B878A7">
      <w:pPr>
        <w:spacing w:line="240" w:lineRule="auto"/>
        <w:rPr>
          <w:rFonts w:ascii="Segoe UI" w:eastAsia="Times New Roman" w:hAnsi="Segoe UI" w:cs="Segoe UI"/>
          <w:b/>
          <w:color w:val="0000FF"/>
          <w:szCs w:val="24"/>
          <w:lang w:eastAsia="es-CO"/>
        </w:rPr>
      </w:pPr>
    </w:p>
    <w:p w:rsidR="00B878A7" w:rsidRPr="00B878A7" w:rsidRDefault="00B878A7" w:rsidP="00B878A7">
      <w:pPr>
        <w:spacing w:line="240" w:lineRule="auto"/>
        <w:rPr>
          <w:rFonts w:ascii="Segoe UI" w:eastAsia="Times New Roman" w:hAnsi="Segoe UI" w:cs="Segoe UI"/>
          <w:b/>
          <w:color w:val="0000FF"/>
          <w:szCs w:val="24"/>
          <w:lang w:eastAsia="es-CO"/>
        </w:rPr>
      </w:pPr>
    </w:p>
    <w:p w:rsidR="00B878A7" w:rsidRPr="00B878A7" w:rsidRDefault="00B878A7" w:rsidP="00B878A7">
      <w:pPr>
        <w:spacing w:line="240" w:lineRule="auto"/>
        <w:rPr>
          <w:rFonts w:ascii="Segoe UI" w:eastAsia="Times New Roman" w:hAnsi="Segoe UI" w:cs="Segoe UI"/>
          <w:szCs w:val="24"/>
          <w:lang w:eastAsia="es-CO"/>
        </w:rPr>
      </w:pPr>
      <w:r w:rsidRPr="00B878A7">
        <w:rPr>
          <w:rFonts w:ascii="Segoe UI" w:eastAsia="Times New Roman" w:hAnsi="Segoe UI" w:cs="Segoe UI"/>
          <w:szCs w:val="24"/>
          <w:lang w:eastAsia="es-CO"/>
        </w:rPr>
        <w:t>100208221 – 947</w:t>
      </w:r>
    </w:p>
    <w:p w:rsidR="00B878A7" w:rsidRPr="00B878A7" w:rsidRDefault="00B878A7" w:rsidP="00B878A7">
      <w:pPr>
        <w:spacing w:line="240" w:lineRule="auto"/>
        <w:rPr>
          <w:rFonts w:ascii="Segoe UI" w:eastAsia="Times New Roman" w:hAnsi="Segoe UI" w:cs="Segoe UI"/>
          <w:szCs w:val="24"/>
          <w:lang w:eastAsia="es-CO"/>
        </w:rPr>
      </w:pPr>
      <w:r w:rsidRPr="00B878A7">
        <w:rPr>
          <w:rFonts w:ascii="Segoe UI" w:eastAsia="Times New Roman" w:hAnsi="Segoe UI" w:cs="Segoe UI"/>
          <w:szCs w:val="24"/>
          <w:lang w:eastAsia="es-CO"/>
        </w:rPr>
        <w:t>Bogotá D.C.</w:t>
      </w: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b/>
          <w:sz w:val="22"/>
          <w:lang w:eastAsia="es-CO"/>
        </w:rPr>
        <w:t xml:space="preserve">Ref.: </w:t>
      </w:r>
      <w:r w:rsidRPr="00B878A7">
        <w:rPr>
          <w:rFonts w:ascii="Segoe UI" w:eastAsia="Times New Roman" w:hAnsi="Segoe UI" w:cs="Segoe UI"/>
          <w:sz w:val="22"/>
          <w:lang w:eastAsia="es-CO"/>
        </w:rPr>
        <w:t>Radicado 100009412 del 25/09/2013</w:t>
      </w:r>
    </w:p>
    <w:p w:rsidR="00B878A7" w:rsidRPr="00B878A7" w:rsidRDefault="00B878A7" w:rsidP="00B878A7">
      <w:pPr>
        <w:spacing w:line="240" w:lineRule="auto"/>
        <w:rPr>
          <w:rFonts w:ascii="Segoe UI" w:eastAsia="Times New Roman" w:hAnsi="Segoe UI" w:cs="Segoe UI"/>
          <w:sz w:val="22"/>
          <w:lang w:eastAsia="es-CO"/>
        </w:rPr>
      </w:pP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b/>
          <w:sz w:val="22"/>
          <w:lang w:eastAsia="es-CO"/>
        </w:rPr>
        <w:t xml:space="preserve">Tema: </w:t>
      </w:r>
      <w:r w:rsidRPr="00B878A7">
        <w:rPr>
          <w:rFonts w:ascii="Segoe UI" w:eastAsia="Times New Roman" w:hAnsi="Segoe UI" w:cs="Segoe UI"/>
          <w:sz w:val="22"/>
          <w:lang w:eastAsia="es-CO"/>
        </w:rPr>
        <w:t>Impuesto sobre la renta para la equidad-CREE</w:t>
      </w: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b/>
          <w:sz w:val="22"/>
          <w:lang w:eastAsia="es-CO"/>
        </w:rPr>
        <w:t xml:space="preserve">Descriptores: </w:t>
      </w:r>
      <w:r w:rsidRPr="00B878A7">
        <w:rPr>
          <w:rFonts w:ascii="Segoe UI" w:eastAsia="Times New Roman" w:hAnsi="Segoe UI" w:cs="Segoe UI"/>
          <w:sz w:val="22"/>
          <w:lang w:eastAsia="es-CO"/>
        </w:rPr>
        <w:t>Exoneración de aportes parafiscales- Salario</w:t>
      </w: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b/>
          <w:sz w:val="22"/>
          <w:lang w:eastAsia="es-CO"/>
        </w:rPr>
        <w:t xml:space="preserve">Fuentes Formales: </w:t>
      </w:r>
      <w:r w:rsidRPr="00B878A7">
        <w:rPr>
          <w:rFonts w:ascii="Segoe UI" w:eastAsia="Times New Roman" w:hAnsi="Segoe UI" w:cs="Segoe UI"/>
          <w:sz w:val="22"/>
          <w:lang w:eastAsia="es-CO"/>
        </w:rPr>
        <w:t xml:space="preserve">Ley 1607 </w:t>
      </w:r>
      <w:proofErr w:type="spellStart"/>
      <w:r w:rsidRPr="00B878A7">
        <w:rPr>
          <w:rFonts w:ascii="Segoe UI" w:eastAsia="Times New Roman" w:hAnsi="Segoe UI" w:cs="Segoe UI"/>
          <w:sz w:val="22"/>
          <w:lang w:eastAsia="es-CO"/>
        </w:rPr>
        <w:t>arts</w:t>
      </w:r>
      <w:proofErr w:type="spellEnd"/>
      <w:r w:rsidRPr="00B878A7">
        <w:rPr>
          <w:rFonts w:ascii="Segoe UI" w:eastAsia="Times New Roman" w:hAnsi="Segoe UI" w:cs="Segoe UI"/>
          <w:sz w:val="22"/>
          <w:lang w:eastAsia="es-CO"/>
        </w:rPr>
        <w:t xml:space="preserve"> 25. Decreto 1828/13</w:t>
      </w:r>
    </w:p>
    <w:p w:rsidR="00B878A7" w:rsidRPr="00B878A7" w:rsidRDefault="00B878A7" w:rsidP="00B878A7">
      <w:pPr>
        <w:spacing w:line="240" w:lineRule="auto"/>
        <w:rPr>
          <w:rFonts w:ascii="Segoe UI" w:eastAsia="Times New Roman" w:hAnsi="Segoe UI" w:cs="Segoe UI"/>
          <w:szCs w:val="24"/>
          <w:lang w:eastAsia="es-CO"/>
        </w:rPr>
      </w:pPr>
    </w:p>
    <w:p w:rsidR="00B878A7" w:rsidRPr="00B878A7" w:rsidRDefault="00B878A7" w:rsidP="00B878A7">
      <w:pPr>
        <w:spacing w:line="240" w:lineRule="auto"/>
        <w:rPr>
          <w:rFonts w:ascii="Segoe UI" w:eastAsia="Times New Roman" w:hAnsi="Segoe UI" w:cs="Segoe UI"/>
          <w:szCs w:val="24"/>
          <w:lang w:eastAsia="es-CO"/>
        </w:rPr>
      </w:pP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Señora</w:t>
      </w:r>
    </w:p>
    <w:p w:rsidR="00B878A7" w:rsidRPr="00B878A7" w:rsidRDefault="00B878A7" w:rsidP="00B878A7">
      <w:pPr>
        <w:spacing w:line="240" w:lineRule="auto"/>
        <w:rPr>
          <w:rFonts w:ascii="Segoe UI" w:eastAsia="Times New Roman" w:hAnsi="Segoe UI" w:cs="Segoe UI"/>
          <w:b/>
          <w:sz w:val="22"/>
          <w:lang w:eastAsia="es-CO"/>
        </w:rPr>
      </w:pPr>
      <w:r w:rsidRPr="00B878A7">
        <w:rPr>
          <w:rFonts w:ascii="Segoe UI" w:eastAsia="Times New Roman" w:hAnsi="Segoe UI" w:cs="Segoe UI"/>
          <w:b/>
          <w:sz w:val="22"/>
          <w:lang w:eastAsia="es-CO"/>
        </w:rPr>
        <w:t>MARIA VICTORIA CAMERO NADER</w:t>
      </w: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Carrera 13 A No. 89- 38 Of 628</w:t>
      </w:r>
    </w:p>
    <w:p w:rsidR="00B878A7" w:rsidRPr="00B878A7" w:rsidRDefault="00B878A7" w:rsidP="00B878A7">
      <w:pPr>
        <w:spacing w:line="240" w:lineRule="auto"/>
        <w:rPr>
          <w:rFonts w:ascii="Segoe UI" w:eastAsia="Times New Roman" w:hAnsi="Segoe UI" w:cs="Segoe UI"/>
          <w:sz w:val="22"/>
          <w:lang w:eastAsia="es-CO"/>
        </w:rPr>
      </w:pPr>
      <w:hyperlink r:id="rId5" w:history="1">
        <w:r w:rsidRPr="00B878A7">
          <w:rPr>
            <w:rFonts w:ascii="Segoe UI" w:eastAsia="Times New Roman" w:hAnsi="Segoe UI" w:cs="Segoe UI"/>
            <w:color w:val="0000FF"/>
            <w:sz w:val="22"/>
            <w:lang w:eastAsia="es-CO"/>
          </w:rPr>
          <w:t>mcamero@barrerapalacio.com</w:t>
        </w:r>
      </w:hyperlink>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Bogotá</w:t>
      </w:r>
    </w:p>
    <w:p w:rsidR="00B878A7" w:rsidRPr="00B878A7" w:rsidRDefault="00B878A7" w:rsidP="00B878A7">
      <w:pPr>
        <w:spacing w:line="240" w:lineRule="auto"/>
        <w:rPr>
          <w:rFonts w:eastAsia="Times New Roman"/>
          <w:szCs w:val="24"/>
          <w:lang w:eastAsia="es-CO"/>
        </w:rPr>
      </w:pP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De conformidad con el artículo 20 del Decreto 4048 de 2008 y la Orden Administrativa 000006 de 2009, es función de esta Subdirección absolver las consultas escritas que se formulen sobre interpretación y aplicación de las normas tributarias de carácter nacional, aduaneras y cambiarias en lo de competencia de esta entidad.</w:t>
      </w:r>
    </w:p>
    <w:p w:rsidR="00B878A7" w:rsidRPr="00B878A7" w:rsidRDefault="00B878A7" w:rsidP="00B878A7">
      <w:pPr>
        <w:spacing w:line="240" w:lineRule="auto"/>
        <w:rPr>
          <w:rFonts w:ascii="Segoe UI" w:eastAsia="Times New Roman" w:hAnsi="Segoe UI" w:cs="Segoe UI"/>
          <w:sz w:val="22"/>
          <w:lang w:eastAsia="es-CO"/>
        </w:rPr>
      </w:pP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En el escrito de la referencia, pregunta, para efectos de la exoneración de aportes parafiscales consagrado en el artículo 25 de la Ley 1607 de 2012, reglamentado mediante el Decreto 1828 de 2013, se precise el alcance del término "devengos del trabajador" en el concepto de salario.</w:t>
      </w:r>
    </w:p>
    <w:p w:rsidR="00B878A7" w:rsidRPr="00B878A7" w:rsidRDefault="00B878A7" w:rsidP="00B878A7">
      <w:pPr>
        <w:spacing w:line="240" w:lineRule="auto"/>
        <w:rPr>
          <w:rFonts w:ascii="Segoe UI" w:eastAsia="Times New Roman" w:hAnsi="Segoe UI" w:cs="Segoe UI"/>
          <w:sz w:val="22"/>
          <w:lang w:eastAsia="es-CO"/>
        </w:rPr>
      </w:pP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 xml:space="preserve">Al respecto, hay que señalar que en efecto, tanto el artículo 25 de la Ley 1607 de 2012 como el Decreto 1828 de 2013, al referirse a la exoneración de aportes parafiscales, toma como referencia para acceder al mismo los salarios mínimos mensuales legales vigentes, "ARTÍCULO 7o. </w:t>
      </w:r>
      <w:r w:rsidRPr="00B878A7">
        <w:rPr>
          <w:rFonts w:ascii="Segoe UI" w:eastAsia="Times New Roman" w:hAnsi="Segoe UI" w:cs="Segoe UI"/>
          <w:iCs/>
          <w:sz w:val="22"/>
          <w:lang w:eastAsia="es-CO"/>
        </w:rPr>
        <w:t xml:space="preserve">EXONERACIÓN DE APORTES PARAFISCALES. </w:t>
      </w:r>
      <w:r w:rsidRPr="00B878A7">
        <w:rPr>
          <w:rFonts w:ascii="Segoe UI" w:eastAsia="Times New Roman" w:hAnsi="Segoe UI" w:cs="Segoe UI"/>
          <w:sz w:val="22"/>
          <w:lang w:eastAsia="es-CO"/>
        </w:rPr>
        <w:t>Las sociedades, y personas jurídicas y asimiladas contribuyentes declarantes del impuesto sobre la renta y complementarios y sujetos pasivos del Impuesto sobre la Renta para la Equidad - CREE, están exoneradas del pago de los aportes parafiscales a favor del Servicio Nacional de Aprendizaje (Sena), y del Instituto Colombiano de Bienestar Familiar (ICBF), correspondientes a los trabajadores que devenguen, individualmente considerados, menos de diez (10) salarios mínimos mensuales legales vigentes.</w:t>
      </w:r>
    </w:p>
    <w:p w:rsidR="00B878A7" w:rsidRPr="00B878A7" w:rsidRDefault="00B878A7" w:rsidP="00B878A7">
      <w:pPr>
        <w:spacing w:line="240" w:lineRule="auto"/>
        <w:rPr>
          <w:rFonts w:ascii="Segoe UI" w:eastAsia="Times New Roman" w:hAnsi="Segoe UI" w:cs="Segoe UI"/>
          <w:sz w:val="22"/>
          <w:lang w:eastAsia="es-CO"/>
        </w:rPr>
      </w:pP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"Para efectos de la exoneración de que trata el presente artículo, se tendrá en cuenta la totalidad de lo devengado por el trabajador.</w:t>
      </w:r>
    </w:p>
    <w:p w:rsidR="00B878A7" w:rsidRPr="00B878A7" w:rsidRDefault="00B878A7" w:rsidP="00B878A7">
      <w:pPr>
        <w:spacing w:line="240" w:lineRule="auto"/>
        <w:rPr>
          <w:rFonts w:ascii="Segoe UI" w:eastAsia="Times New Roman" w:hAnsi="Segoe UI" w:cs="Segoe UI"/>
          <w:sz w:val="22"/>
          <w:lang w:eastAsia="es-CO"/>
        </w:rPr>
      </w:pPr>
    </w:p>
    <w:p w:rsidR="00B878A7" w:rsidRPr="00B878A7" w:rsidRDefault="00B878A7" w:rsidP="00B878A7">
      <w:pPr>
        <w:spacing w:line="240" w:lineRule="auto"/>
        <w:rPr>
          <w:rFonts w:eastAsia="Times New Roman"/>
          <w:szCs w:val="24"/>
          <w:lang w:eastAsia="es-CO"/>
        </w:rPr>
      </w:pPr>
      <w:r w:rsidRPr="00B878A7">
        <w:rPr>
          <w:rFonts w:ascii="Segoe UI" w:eastAsia="Times New Roman" w:hAnsi="Segoe UI" w:cs="Segoe UI"/>
          <w:sz w:val="22"/>
          <w:lang w:eastAsia="es-CO"/>
        </w:rPr>
        <w:t>Corresponderá al empleador determinar si el monto total efectivamente devengado por cada trabajador en el respectivo mes es inferior a diez (10) salarios mínimos legales mensuales vigentes, para determinar si procede la exoneración prevista en el artículo 25 de la Ley 1607 de 2012 reglamentada en el presente decreto."</w:t>
      </w:r>
    </w:p>
    <w:p w:rsidR="00B878A7" w:rsidRPr="00B878A7" w:rsidRDefault="00B878A7" w:rsidP="00B878A7">
      <w:pPr>
        <w:spacing w:line="240" w:lineRule="auto"/>
        <w:rPr>
          <w:rFonts w:ascii="Segoe UI" w:eastAsia="Times New Roman" w:hAnsi="Segoe UI" w:cs="Segoe UI"/>
          <w:sz w:val="22"/>
          <w:lang w:eastAsia="es-CO"/>
        </w:rPr>
      </w:pP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Ahora bien, en cuanto al alcance del término devengar el diccionario de la Real Academia Española trae como una de las acepciones de la definición del término:</w:t>
      </w:r>
    </w:p>
    <w:p w:rsidR="00B878A7" w:rsidRPr="00B878A7" w:rsidRDefault="00B878A7" w:rsidP="00B878A7">
      <w:pPr>
        <w:spacing w:line="240" w:lineRule="auto"/>
        <w:ind w:left="284"/>
        <w:rPr>
          <w:rFonts w:ascii="Segoe UI" w:eastAsia="Times New Roman" w:hAnsi="Segoe UI" w:cs="Segoe UI"/>
          <w:sz w:val="22"/>
          <w:lang w:eastAsia="es-CO"/>
        </w:rPr>
      </w:pPr>
    </w:p>
    <w:p w:rsidR="00B878A7" w:rsidRPr="00B878A7" w:rsidRDefault="00B878A7" w:rsidP="00B878A7">
      <w:pPr>
        <w:spacing w:line="240" w:lineRule="auto"/>
        <w:ind w:left="284"/>
        <w:rPr>
          <w:rFonts w:ascii="Segoe UI" w:eastAsia="Times New Roman" w:hAnsi="Segoe UI" w:cs="Segoe UI"/>
          <w:sz w:val="22"/>
          <w:lang w:eastAsia="es-CO"/>
        </w:rPr>
      </w:pPr>
      <w:r w:rsidRPr="00B878A7">
        <w:rPr>
          <w:rFonts w:ascii="Segoe UI" w:eastAsia="Times New Roman" w:hAnsi="Segoe UI" w:cs="Segoe UI"/>
          <w:sz w:val="22"/>
          <w:lang w:eastAsia="es-CO"/>
        </w:rPr>
        <w:lastRenderedPageBreak/>
        <w:t>"devengar.</w:t>
      </w:r>
    </w:p>
    <w:p w:rsidR="00B878A7" w:rsidRPr="00B878A7" w:rsidRDefault="00B878A7" w:rsidP="00B878A7">
      <w:pPr>
        <w:spacing w:line="240" w:lineRule="auto"/>
        <w:ind w:left="284"/>
        <w:rPr>
          <w:rFonts w:ascii="Segoe UI" w:eastAsia="Times New Roman" w:hAnsi="Segoe UI" w:cs="Segoe UI"/>
          <w:sz w:val="22"/>
          <w:lang w:eastAsia="es-CO"/>
        </w:rPr>
      </w:pPr>
      <w:r w:rsidRPr="00B878A7">
        <w:rPr>
          <w:rFonts w:ascii="Segoe UI" w:eastAsia="Times New Roman" w:hAnsi="Segoe UI" w:cs="Segoe UI"/>
          <w:sz w:val="22"/>
          <w:lang w:eastAsia="es-CO"/>
        </w:rPr>
        <w:t xml:space="preserve">(De </w:t>
      </w:r>
      <w:proofErr w:type="spellStart"/>
      <w:r w:rsidRPr="00B878A7">
        <w:rPr>
          <w:rFonts w:ascii="Segoe UI" w:eastAsia="Times New Roman" w:hAnsi="Segoe UI" w:cs="Segoe UI"/>
          <w:sz w:val="22"/>
          <w:lang w:eastAsia="es-CO"/>
        </w:rPr>
        <w:t>de</w:t>
      </w:r>
      <w:proofErr w:type="spellEnd"/>
      <w:r w:rsidRPr="00B878A7">
        <w:rPr>
          <w:rFonts w:ascii="Segoe UI" w:eastAsia="Times New Roman" w:hAnsi="Segoe UI" w:cs="Segoe UI"/>
          <w:sz w:val="22"/>
          <w:lang w:eastAsia="es-CO"/>
        </w:rPr>
        <w:t xml:space="preserve">- y el lat. </w:t>
      </w:r>
      <w:r w:rsidRPr="00B878A7">
        <w:rPr>
          <w:rFonts w:ascii="Segoe UI" w:eastAsia="Times New Roman" w:hAnsi="Segoe UI" w:cs="Segoe UI"/>
          <w:iCs/>
          <w:sz w:val="22"/>
          <w:lang w:eastAsia="es-CO"/>
        </w:rPr>
        <w:t xml:space="preserve">vindicare, </w:t>
      </w:r>
      <w:r w:rsidRPr="00B878A7">
        <w:rPr>
          <w:rFonts w:ascii="Segoe UI" w:eastAsia="Times New Roman" w:hAnsi="Segoe UI" w:cs="Segoe UI"/>
          <w:sz w:val="22"/>
          <w:lang w:eastAsia="es-CO"/>
        </w:rPr>
        <w:t>atribuirse, apropiarse).</w:t>
      </w:r>
    </w:p>
    <w:p w:rsidR="00B878A7" w:rsidRPr="00B878A7" w:rsidRDefault="00B878A7" w:rsidP="00B878A7">
      <w:pPr>
        <w:spacing w:line="240" w:lineRule="auto"/>
        <w:ind w:left="284"/>
        <w:rPr>
          <w:rFonts w:ascii="Segoe UI" w:eastAsia="Times New Roman" w:hAnsi="Segoe UI" w:cs="Segoe UI"/>
          <w:sz w:val="22"/>
          <w:lang w:eastAsia="es-CO"/>
        </w:rPr>
      </w:pPr>
    </w:p>
    <w:p w:rsidR="00B878A7" w:rsidRPr="00B878A7" w:rsidRDefault="00B878A7" w:rsidP="00B878A7">
      <w:pPr>
        <w:spacing w:line="240" w:lineRule="auto"/>
        <w:ind w:left="284"/>
        <w:rPr>
          <w:rFonts w:ascii="Segoe UI" w:eastAsia="Times New Roman" w:hAnsi="Segoe UI" w:cs="Segoe UI"/>
          <w:iCs/>
          <w:sz w:val="22"/>
          <w:lang w:eastAsia="es-CO"/>
        </w:rPr>
      </w:pPr>
      <w:r w:rsidRPr="00B878A7">
        <w:rPr>
          <w:rFonts w:ascii="Segoe UI" w:eastAsia="Times New Roman" w:hAnsi="Segoe UI" w:cs="Segoe UI"/>
          <w:sz w:val="22"/>
          <w:lang w:eastAsia="es-CO"/>
        </w:rPr>
        <w:t xml:space="preserve">1. </w:t>
      </w:r>
      <w:proofErr w:type="spellStart"/>
      <w:r w:rsidRPr="00B878A7">
        <w:rPr>
          <w:rFonts w:ascii="Segoe UI" w:eastAsia="Times New Roman" w:hAnsi="Segoe UI" w:cs="Segoe UI"/>
          <w:sz w:val="22"/>
          <w:lang w:eastAsia="es-CO"/>
        </w:rPr>
        <w:t>tr</w:t>
      </w:r>
      <w:proofErr w:type="spellEnd"/>
      <w:r w:rsidRPr="00B878A7">
        <w:rPr>
          <w:rFonts w:ascii="Segoe UI" w:eastAsia="Times New Roman" w:hAnsi="Segoe UI" w:cs="Segoe UI"/>
          <w:sz w:val="22"/>
          <w:lang w:eastAsia="es-CO"/>
        </w:rPr>
        <w:t xml:space="preserve">. Adquirir derecho a alguna percepción o retribución de trabajo, servicio u otro título. </w:t>
      </w:r>
      <w:r w:rsidRPr="00B878A7">
        <w:rPr>
          <w:rFonts w:ascii="Segoe UI" w:eastAsia="Times New Roman" w:hAnsi="Segoe UI" w:cs="Segoe UI"/>
          <w:iCs/>
          <w:sz w:val="22"/>
          <w:lang w:eastAsia="es-CO"/>
        </w:rPr>
        <w:t xml:space="preserve">Devengar salarios, </w:t>
      </w:r>
      <w:r w:rsidRPr="00B878A7">
        <w:rPr>
          <w:rFonts w:ascii="Segoe UI" w:eastAsia="Times New Roman" w:hAnsi="Segoe UI" w:cs="Segoe UI"/>
          <w:sz w:val="22"/>
          <w:lang w:eastAsia="es-CO"/>
        </w:rPr>
        <w:t xml:space="preserve">costas, </w:t>
      </w:r>
      <w:r w:rsidRPr="00B878A7">
        <w:rPr>
          <w:rFonts w:ascii="Segoe UI" w:eastAsia="Times New Roman" w:hAnsi="Segoe UI" w:cs="Segoe UI"/>
          <w:iCs/>
          <w:sz w:val="22"/>
          <w:lang w:eastAsia="es-CO"/>
        </w:rPr>
        <w:t>intereses.</w:t>
      </w:r>
    </w:p>
    <w:p w:rsidR="00B878A7" w:rsidRPr="00B878A7" w:rsidRDefault="00B878A7" w:rsidP="00B878A7">
      <w:pPr>
        <w:spacing w:line="240" w:lineRule="auto"/>
        <w:rPr>
          <w:rFonts w:ascii="Segoe UI" w:eastAsia="Times New Roman" w:hAnsi="Segoe UI" w:cs="Segoe UI"/>
          <w:sz w:val="22"/>
          <w:lang w:eastAsia="es-CO"/>
        </w:rPr>
      </w:pP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En tal sentido es necesario acudir a la regla de interpretación de la ley prevista en el artículo 28 del Código Civil que reza:</w:t>
      </w:r>
    </w:p>
    <w:p w:rsidR="00B878A7" w:rsidRPr="00B878A7" w:rsidRDefault="00B878A7" w:rsidP="00B878A7">
      <w:pPr>
        <w:spacing w:line="240" w:lineRule="auto"/>
        <w:ind w:left="284"/>
        <w:rPr>
          <w:rFonts w:ascii="Segoe UI" w:eastAsia="Times New Roman" w:hAnsi="Segoe UI" w:cs="Segoe UI"/>
          <w:sz w:val="22"/>
          <w:lang w:eastAsia="es-CO"/>
        </w:rPr>
      </w:pPr>
    </w:p>
    <w:p w:rsidR="00B878A7" w:rsidRPr="00B878A7" w:rsidRDefault="00B878A7" w:rsidP="00B878A7">
      <w:pPr>
        <w:spacing w:line="240" w:lineRule="auto"/>
        <w:ind w:left="284"/>
        <w:rPr>
          <w:rFonts w:ascii="Segoe UI" w:eastAsia="Times New Roman" w:hAnsi="Segoe UI" w:cs="Segoe UI"/>
          <w:sz w:val="22"/>
          <w:lang w:eastAsia="es-CO"/>
        </w:rPr>
      </w:pPr>
      <w:r w:rsidRPr="00B878A7">
        <w:rPr>
          <w:rFonts w:ascii="Segoe UI" w:eastAsia="Times New Roman" w:hAnsi="Segoe UI" w:cs="Segoe UI"/>
          <w:sz w:val="22"/>
          <w:lang w:eastAsia="es-CO"/>
        </w:rPr>
        <w:t>"Las palabras de la ley se entenderán en su sentido natural y obvio, según el uso general de las mismas palabras; pero cuando el legislador las haya definido expresamente para ciertas materias, se les dará en éstas su significado especial (sic)."</w:t>
      </w:r>
    </w:p>
    <w:p w:rsidR="00B878A7" w:rsidRPr="00B878A7" w:rsidRDefault="00B878A7" w:rsidP="00B878A7">
      <w:pPr>
        <w:spacing w:line="240" w:lineRule="auto"/>
        <w:rPr>
          <w:rFonts w:ascii="Segoe UI" w:eastAsia="Times New Roman" w:hAnsi="Segoe UI" w:cs="Segoe UI"/>
          <w:sz w:val="22"/>
          <w:lang w:eastAsia="es-CO"/>
        </w:rPr>
      </w:pP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Como en el caso en análisis las normas no dieron una connotación al término "devengar", es claro que su significado es el uso general, antes señalado, por tal razón puede señalarse que, para estos efectos se tendrán como salario la totalidad de lo percibido por el trabajador como retribución de su trabajo, independientemente de la forma de denominación.</w:t>
      </w:r>
    </w:p>
    <w:p w:rsidR="00B878A7" w:rsidRPr="00B878A7" w:rsidRDefault="00B878A7" w:rsidP="00B878A7">
      <w:pPr>
        <w:spacing w:line="240" w:lineRule="auto"/>
        <w:rPr>
          <w:rFonts w:ascii="Segoe UI" w:eastAsia="Times New Roman" w:hAnsi="Segoe UI" w:cs="Segoe UI"/>
          <w:sz w:val="22"/>
          <w:lang w:eastAsia="es-CO"/>
        </w:rPr>
      </w:pPr>
    </w:p>
    <w:p w:rsidR="00B878A7" w:rsidRPr="00B878A7" w:rsidRDefault="00B878A7" w:rsidP="00B878A7">
      <w:pPr>
        <w:spacing w:line="240" w:lineRule="auto"/>
        <w:rPr>
          <w:rFonts w:ascii="Segoe UI" w:eastAsia="Times New Roman" w:hAnsi="Segoe UI" w:cs="Segoe UI"/>
          <w:sz w:val="22"/>
          <w:lang w:eastAsia="es-CO"/>
        </w:rPr>
      </w:pPr>
      <w:bookmarkStart w:id="0" w:name="_GoBack"/>
      <w:bookmarkEnd w:id="0"/>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Atentamente,</w:t>
      </w:r>
    </w:p>
    <w:p w:rsidR="00B878A7" w:rsidRPr="00B878A7" w:rsidRDefault="00B878A7" w:rsidP="00B878A7">
      <w:pPr>
        <w:spacing w:line="240" w:lineRule="auto"/>
        <w:rPr>
          <w:rFonts w:ascii="Segoe UI" w:eastAsia="Times New Roman" w:hAnsi="Segoe UI" w:cs="Segoe UI"/>
          <w:szCs w:val="24"/>
          <w:lang w:eastAsia="es-CO"/>
        </w:rPr>
      </w:pPr>
    </w:p>
    <w:p w:rsidR="00B878A7" w:rsidRPr="00B878A7" w:rsidRDefault="00B878A7" w:rsidP="00B878A7">
      <w:pPr>
        <w:spacing w:line="240" w:lineRule="auto"/>
        <w:rPr>
          <w:rFonts w:ascii="Segoe UI" w:eastAsia="Times New Roman" w:hAnsi="Segoe UI" w:cs="Segoe UI"/>
          <w:szCs w:val="24"/>
          <w:lang w:eastAsia="es-CO"/>
        </w:rPr>
      </w:pPr>
    </w:p>
    <w:p w:rsidR="00B878A7" w:rsidRPr="00B878A7" w:rsidRDefault="00B878A7" w:rsidP="00B878A7">
      <w:pPr>
        <w:spacing w:line="240" w:lineRule="auto"/>
        <w:rPr>
          <w:rFonts w:ascii="Segoe UI" w:eastAsia="Times New Roman" w:hAnsi="Segoe UI" w:cs="Segoe UI"/>
          <w:b/>
          <w:sz w:val="22"/>
          <w:lang w:eastAsia="es-CO"/>
        </w:rPr>
      </w:pPr>
      <w:r w:rsidRPr="00B878A7">
        <w:rPr>
          <w:rFonts w:ascii="Segoe UI" w:eastAsia="Times New Roman" w:hAnsi="Segoe UI" w:cs="Segoe UI"/>
          <w:b/>
          <w:sz w:val="22"/>
          <w:lang w:eastAsia="es-CO"/>
        </w:rPr>
        <w:t>LEONOR EUGENIA RUIZ DE VILLALOBOS</w:t>
      </w:r>
    </w:p>
    <w:p w:rsidR="00B878A7" w:rsidRPr="00B878A7" w:rsidRDefault="00B878A7" w:rsidP="00B878A7">
      <w:pPr>
        <w:spacing w:line="240" w:lineRule="auto"/>
        <w:rPr>
          <w:rFonts w:ascii="Segoe UI" w:eastAsia="Times New Roman" w:hAnsi="Segoe UI" w:cs="Segoe UI"/>
          <w:sz w:val="22"/>
          <w:lang w:eastAsia="es-CO"/>
        </w:rPr>
      </w:pPr>
      <w:r w:rsidRPr="00B878A7">
        <w:rPr>
          <w:rFonts w:ascii="Segoe UI" w:eastAsia="Times New Roman" w:hAnsi="Segoe UI" w:cs="Segoe UI"/>
          <w:sz w:val="22"/>
          <w:lang w:eastAsia="es-CO"/>
        </w:rPr>
        <w:t>Subdirectora de Gestión Normativa y Doctrina</w:t>
      </w:r>
    </w:p>
    <w:p w:rsidR="00B878A7" w:rsidRPr="00B878A7" w:rsidRDefault="00B878A7" w:rsidP="00B878A7">
      <w:pPr>
        <w:spacing w:after="285" w:line="240" w:lineRule="auto"/>
        <w:rPr>
          <w:rFonts w:ascii="Arial" w:eastAsia="Times New Roman" w:hAnsi="Arial" w:cs="Arial"/>
          <w:sz w:val="18"/>
          <w:szCs w:val="18"/>
          <w:lang w:eastAsia="es-CO"/>
        </w:rPr>
      </w:pPr>
      <w:r w:rsidRPr="00B878A7">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A7"/>
    <w:rsid w:val="00A067C7"/>
    <w:rsid w:val="00B51D80"/>
    <w:rsid w:val="00B87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amero@barrerapalaci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2013-12-04T01:18:00Z</dcterms:created>
  <dcterms:modified xsi:type="dcterms:W3CDTF">2013-12-04T01:20:00Z</dcterms:modified>
</cp:coreProperties>
</file>